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71" w:rsidRPr="00F71E71" w:rsidRDefault="00F71E71" w:rsidP="00F71E71">
      <w:pPr>
        <w:shd w:val="clear" w:color="auto" w:fill="FFFFFF"/>
        <w:contextualSpacing/>
        <w:rPr>
          <w:b/>
          <w:bCs/>
          <w:color w:val="333333"/>
          <w:sz w:val="28"/>
          <w:szCs w:val="28"/>
        </w:rPr>
      </w:pPr>
      <w:r w:rsidRPr="00F71E71">
        <w:rPr>
          <w:b/>
          <w:bCs/>
          <w:color w:val="333333"/>
          <w:sz w:val="28"/>
          <w:szCs w:val="28"/>
        </w:rPr>
        <w:t xml:space="preserve">Об уголовной ответственности за </w:t>
      </w:r>
      <w:bookmarkStart w:id="0" w:name="_GoBack"/>
      <w:r w:rsidRPr="00F71E71">
        <w:rPr>
          <w:b/>
          <w:bCs/>
          <w:color w:val="333333"/>
          <w:sz w:val="28"/>
          <w:szCs w:val="28"/>
        </w:rPr>
        <w:t>вовлечение несовершеннолетнего в совершение преступления</w:t>
      </w:r>
    </w:p>
    <w:bookmarkEnd w:id="0"/>
    <w:p w:rsidR="00F71E71" w:rsidRPr="00F71E71" w:rsidRDefault="00F71E71" w:rsidP="00F71E71">
      <w:pPr>
        <w:shd w:val="clear" w:color="auto" w:fill="FFFFFF"/>
        <w:contextualSpacing/>
        <w:rPr>
          <w:color w:val="333333"/>
          <w:sz w:val="28"/>
          <w:szCs w:val="28"/>
        </w:rPr>
      </w:pPr>
      <w:r w:rsidRPr="00F71E71">
        <w:rPr>
          <w:color w:val="000000"/>
          <w:sz w:val="28"/>
          <w:szCs w:val="28"/>
        </w:rPr>
        <w:t> </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К уголовной ответственности за вовлечение несовершеннолетнего в совершение преступления или совершение антиобщественных действий могут быть привлечены лица, достигшие восемнадцатилетнего возраста и совершившие преступление умышленно.</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Под вовлечением несовершеннолетнего в совершение преступления или совершение антиобщественных действий следует понимать действия взрослого лица, направленные на возбуждение желания совершить преступление или антиобщественные действия. 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Преступления, ответственность за которые предусмотрена статьями 150 и 151 УК РФ, являются оконченными с момента совершения несовершеннолетним преступления, приготовления к преступлению, покушения на преступление или после совершения хотя бы одного из антиобщественных действий, предусмотренных в части 1 статьи 151 УК РФ (систематическое употребление спиртных напитков, одурманивающих веществ, занятие бродяжничеством или попрошайничеством). Если указанные последствия не наступили по не зависящим от виновных обстоятельствам, то их действия могут быть квалифицированы по части 3 статьи 30 УК РФ и по статье 150 УК РФ либо статье 151 УК РФ.</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В случае совершения преступления несовершеннолетним, не подлежащим уголовной ответственности, лицо, вовлекшее его в совершение преступления, в силу части 2 статьи 33 УК РФ несет уголовную ответственность за содеянное как исполнитель путем посредственного причинения.</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Действия взрослого лица по подстрекательству несовершеннолетнего к совершению преступления при наличии признаков состава указанного преступления должны квалифицироваться по статье 150 УК РФ, а также по закону, предусматривающему ответственность за соучастие (в виде подстрекательства) в совершении конкретного преступления.</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Совершение вовлечения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наказывается лишением свободы на срок до пяти лет.</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F71E71" w:rsidRPr="00F71E71" w:rsidRDefault="00F71E71" w:rsidP="00F71E71">
      <w:pPr>
        <w:shd w:val="clear" w:color="auto" w:fill="FFFFFF"/>
        <w:ind w:firstLine="708"/>
        <w:contextualSpacing/>
        <w:jc w:val="both"/>
        <w:rPr>
          <w:color w:val="333333"/>
          <w:sz w:val="28"/>
          <w:szCs w:val="28"/>
        </w:rPr>
      </w:pPr>
      <w:r w:rsidRPr="00F71E71">
        <w:rPr>
          <w:color w:val="333333"/>
          <w:sz w:val="28"/>
          <w:szCs w:val="28"/>
        </w:rPr>
        <w:lastRenderedPageBreak/>
        <w:t>Если указанные выше действия по вовлечению совершены с применением насилия или с угрозой его применения, то виновному грозит от двух до семи лет лишения свободы с ограничением свободы на срок до двух лет либо без такового.</w:t>
      </w:r>
    </w:p>
    <w:p w:rsidR="00C666EB" w:rsidRPr="00F71E71" w:rsidRDefault="00F71E71" w:rsidP="00F71E71">
      <w:pPr>
        <w:shd w:val="clear" w:color="auto" w:fill="FFFFFF"/>
        <w:ind w:firstLine="708"/>
        <w:contextualSpacing/>
        <w:jc w:val="both"/>
        <w:rPr>
          <w:color w:val="333333"/>
          <w:sz w:val="28"/>
          <w:szCs w:val="28"/>
        </w:rPr>
      </w:pPr>
      <w:r w:rsidRPr="00F71E71">
        <w:rPr>
          <w:color w:val="333333"/>
          <w:sz w:val="28"/>
          <w:szCs w:val="28"/>
        </w:rPr>
        <w:t>В случае, если несовершеннолетний оказался вовлечен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виновному грозит от пяти до восьми лет лишения свободы с ограничением свободы на срок до двух лет либо без такового.</w:t>
      </w:r>
    </w:p>
    <w:p w:rsidR="000C1185" w:rsidRPr="00442364" w:rsidRDefault="000C1185" w:rsidP="00615F9B">
      <w:pPr>
        <w:shd w:val="clear" w:color="auto" w:fill="FFFFFF"/>
        <w:contextualSpacing/>
        <w:jc w:val="both"/>
        <w:rPr>
          <w:color w:val="333333"/>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442364">
      <w:pgSz w:w="11906" w:h="16838" w:code="9"/>
      <w:pgMar w:top="1134" w:right="850" w:bottom="993"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707D3"/>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03E69"/>
    <w:rsid w:val="00A13262"/>
    <w:rsid w:val="00A167D0"/>
    <w:rsid w:val="00A26DFF"/>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2021-06-16T06:36:00Z</cp:lastPrinted>
  <dcterms:created xsi:type="dcterms:W3CDTF">2021-06-16T06:37:00Z</dcterms:created>
  <dcterms:modified xsi:type="dcterms:W3CDTF">2021-06-17T03:12:00Z</dcterms:modified>
</cp:coreProperties>
</file>